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0F32" w14:textId="77777777" w:rsidR="00C0526F" w:rsidRPr="00147FF6" w:rsidRDefault="00C0526F" w:rsidP="00C0526F">
      <w:pPr>
        <w:pStyle w:val="Kop3"/>
        <w:rPr>
          <w:rFonts w:eastAsiaTheme="minorEastAsia"/>
          <w:b/>
          <w:bCs/>
          <w:i/>
          <w:iCs/>
        </w:rPr>
      </w:pPr>
      <w:bookmarkStart w:id="0" w:name="_Toc51064068"/>
      <w:bookmarkStart w:id="1" w:name="_Toc51064804"/>
      <w:bookmarkStart w:id="2" w:name="_GoBack"/>
      <w:bookmarkEnd w:id="2"/>
      <w:r w:rsidRPr="00147FF6">
        <w:rPr>
          <w:rFonts w:eastAsiaTheme="minorEastAsia"/>
          <w:b/>
          <w:bCs/>
          <w:i/>
          <w:iCs/>
        </w:rPr>
        <w:t>Verzuim- en spijbelbeleid</w:t>
      </w:r>
      <w:bookmarkEnd w:id="0"/>
      <w:bookmarkEnd w:id="1"/>
    </w:p>
    <w:p w14:paraId="7257C335" w14:textId="77777777" w:rsidR="00C0526F" w:rsidRDefault="00C0526F" w:rsidP="00C0526F">
      <w:pPr>
        <w:spacing w:after="0"/>
        <w:ind w:left="428" w:hanging="428"/>
        <w:rPr>
          <w:rFonts w:eastAsiaTheme="minorEastAsia"/>
          <w:color w:val="2F5496" w:themeColor="accent1" w:themeShade="BF"/>
          <w:sz w:val="20"/>
          <w:szCs w:val="20"/>
        </w:rPr>
      </w:pPr>
      <w:r w:rsidRPr="00E97F02">
        <w:rPr>
          <w:rFonts w:eastAsiaTheme="minorEastAsia"/>
          <w:color w:val="2F5496" w:themeColor="accent1" w:themeShade="BF"/>
          <w:sz w:val="20"/>
          <w:szCs w:val="20"/>
        </w:rPr>
        <w:t>Wij voeren op school beleid om schoolverzuim van de leerlingen terug te dringen en/of tegen te gaan. Dit o</w:t>
      </w:r>
      <w:r>
        <w:rPr>
          <w:rFonts w:eastAsiaTheme="minorEastAsia"/>
          <w:color w:val="2F5496" w:themeColor="accent1" w:themeShade="BF"/>
          <w:sz w:val="20"/>
          <w:szCs w:val="20"/>
        </w:rPr>
        <w:t>m</w:t>
      </w:r>
    </w:p>
    <w:p w14:paraId="2BE8C47D" w14:textId="77777777" w:rsidR="00C0526F" w:rsidRPr="00E97F02" w:rsidRDefault="00C0526F" w:rsidP="00C0526F">
      <w:pPr>
        <w:spacing w:after="0"/>
        <w:ind w:left="428" w:hanging="428"/>
        <w:rPr>
          <w:rFonts w:eastAsiaTheme="minorEastAsia"/>
          <w:color w:val="2F5496" w:themeColor="accent1" w:themeShade="BF"/>
          <w:sz w:val="20"/>
          <w:szCs w:val="20"/>
        </w:rPr>
      </w:pPr>
      <w:r w:rsidRPr="00E97F02">
        <w:rPr>
          <w:rFonts w:eastAsiaTheme="minorEastAsia"/>
          <w:color w:val="2F5496" w:themeColor="accent1" w:themeShade="BF"/>
          <w:sz w:val="20"/>
          <w:szCs w:val="20"/>
        </w:rPr>
        <w:t>ervoor te zorgen dat:</w:t>
      </w:r>
    </w:p>
    <w:p w14:paraId="1BC6A92F" w14:textId="77777777" w:rsidR="00C0526F" w:rsidRPr="00E97F02" w:rsidRDefault="00C0526F" w:rsidP="00C0526F">
      <w:pPr>
        <w:pStyle w:val="Lijstalinea"/>
        <w:numPr>
          <w:ilvl w:val="0"/>
          <w:numId w:val="2"/>
        </w:numPr>
        <w:spacing w:after="0"/>
        <w:rPr>
          <w:rFonts w:eastAsiaTheme="minorEastAsia"/>
          <w:color w:val="2F5496" w:themeColor="accent1" w:themeShade="BF"/>
          <w:sz w:val="20"/>
          <w:szCs w:val="20"/>
        </w:rPr>
      </w:pPr>
      <w:r w:rsidRPr="00E97F02">
        <w:rPr>
          <w:rFonts w:eastAsiaTheme="minorEastAsia"/>
          <w:color w:val="2F5496" w:themeColor="accent1" w:themeShade="BF"/>
          <w:sz w:val="20"/>
          <w:szCs w:val="20"/>
        </w:rPr>
        <w:t>Alle leerlingen optimaal gebruik kunnen maken van hun recht op onderwijs en de vastgestelde leertijd;</w:t>
      </w:r>
    </w:p>
    <w:p w14:paraId="2F552546" w14:textId="77777777" w:rsidR="00C0526F" w:rsidRPr="00E97F02" w:rsidRDefault="00C0526F" w:rsidP="00C0526F">
      <w:pPr>
        <w:pStyle w:val="Lijstalinea"/>
        <w:numPr>
          <w:ilvl w:val="0"/>
          <w:numId w:val="2"/>
        </w:numPr>
        <w:spacing w:after="0" w:line="266" w:lineRule="exact"/>
        <w:rPr>
          <w:rFonts w:eastAsiaTheme="minorEastAsia"/>
          <w:color w:val="2F5496" w:themeColor="accent1" w:themeShade="BF"/>
          <w:sz w:val="20"/>
          <w:szCs w:val="20"/>
        </w:rPr>
      </w:pPr>
      <w:r w:rsidRPr="00E97F02">
        <w:rPr>
          <w:rFonts w:eastAsiaTheme="minorEastAsia"/>
          <w:color w:val="2F5496" w:themeColor="accent1" w:themeShade="BF"/>
          <w:sz w:val="20"/>
          <w:szCs w:val="20"/>
        </w:rPr>
        <w:t>Alle leerlingen zo veel mogelijk de bij hun capaciteiten passende leerresultaten behalen;</w:t>
      </w:r>
    </w:p>
    <w:p w14:paraId="7083C6EB" w14:textId="77777777" w:rsidR="00C0526F" w:rsidRPr="00E97F02" w:rsidRDefault="00C0526F" w:rsidP="00C0526F">
      <w:pPr>
        <w:pStyle w:val="Lijstalinea"/>
        <w:numPr>
          <w:ilvl w:val="0"/>
          <w:numId w:val="2"/>
        </w:numPr>
        <w:spacing w:after="0"/>
        <w:rPr>
          <w:rFonts w:eastAsiaTheme="minorEastAsia"/>
          <w:color w:val="2F5496" w:themeColor="accent1" w:themeShade="BF"/>
          <w:sz w:val="20"/>
          <w:szCs w:val="20"/>
        </w:rPr>
      </w:pPr>
      <w:r w:rsidRPr="00E97F02">
        <w:rPr>
          <w:rFonts w:eastAsiaTheme="minorEastAsia"/>
          <w:color w:val="2F5496" w:themeColor="accent1" w:themeShade="BF"/>
          <w:sz w:val="20"/>
          <w:szCs w:val="20"/>
        </w:rPr>
        <w:t>Het onderwijs in een zo effectief mogelijk pedagogisch-didactisch klimaat gegeven kan worden;</w:t>
      </w:r>
    </w:p>
    <w:p w14:paraId="0A731312" w14:textId="77777777" w:rsidR="00C0526F" w:rsidRPr="00E97F02" w:rsidRDefault="00C0526F" w:rsidP="00C0526F">
      <w:pPr>
        <w:pStyle w:val="Lijstalinea"/>
        <w:numPr>
          <w:ilvl w:val="0"/>
          <w:numId w:val="2"/>
        </w:numPr>
        <w:spacing w:after="0"/>
        <w:rPr>
          <w:rFonts w:eastAsiaTheme="minorEastAsia"/>
          <w:color w:val="2F5496" w:themeColor="accent1" w:themeShade="BF"/>
          <w:sz w:val="20"/>
          <w:szCs w:val="20"/>
        </w:rPr>
      </w:pPr>
      <w:r w:rsidRPr="00E97F02">
        <w:rPr>
          <w:rFonts w:eastAsiaTheme="minorEastAsia"/>
          <w:color w:val="2F5496" w:themeColor="accent1" w:themeShade="BF"/>
          <w:sz w:val="20"/>
          <w:szCs w:val="20"/>
        </w:rPr>
        <w:t>En tot slot: wij zien op tijd komen als een gewenste sociale vaardigheid.</w:t>
      </w:r>
    </w:p>
    <w:p w14:paraId="7BAF4A04" w14:textId="77777777" w:rsidR="00C0526F" w:rsidRPr="00E97F02" w:rsidRDefault="00C0526F" w:rsidP="00C0526F">
      <w:pPr>
        <w:spacing w:after="0"/>
        <w:rPr>
          <w:rFonts w:eastAsiaTheme="minorEastAsia"/>
          <w:color w:val="2F5496" w:themeColor="accent1" w:themeShade="BF"/>
          <w:sz w:val="20"/>
          <w:szCs w:val="20"/>
        </w:rPr>
      </w:pPr>
    </w:p>
    <w:p w14:paraId="0EB7694D" w14:textId="77777777" w:rsidR="00C0526F" w:rsidRPr="00147FF6" w:rsidRDefault="00C0526F" w:rsidP="00C0526F">
      <w:pPr>
        <w:pStyle w:val="Kop3"/>
        <w:rPr>
          <w:rFonts w:eastAsiaTheme="minorEastAsia"/>
          <w:b/>
          <w:bCs/>
          <w:i/>
          <w:iCs/>
        </w:rPr>
      </w:pPr>
      <w:bookmarkStart w:id="3" w:name="_Toc51064069"/>
      <w:bookmarkStart w:id="4" w:name="_Toc51064805"/>
      <w:r w:rsidRPr="00147FF6">
        <w:rPr>
          <w:rFonts w:eastAsiaTheme="minorEastAsia"/>
          <w:b/>
          <w:bCs/>
          <w:i/>
          <w:iCs/>
        </w:rPr>
        <w:t>Leerplicht</w:t>
      </w:r>
      <w:bookmarkEnd w:id="3"/>
      <w:bookmarkEnd w:id="4"/>
    </w:p>
    <w:p w14:paraId="2D4F6D8A" w14:textId="77777777" w:rsidR="00C0526F" w:rsidRPr="00E97F02" w:rsidRDefault="00C0526F" w:rsidP="00C0526F">
      <w:pPr>
        <w:spacing w:after="0"/>
        <w:jc w:val="both"/>
        <w:rPr>
          <w:rFonts w:eastAsiaTheme="minorEastAsia"/>
          <w:color w:val="2F5496" w:themeColor="accent1" w:themeShade="BF"/>
          <w:sz w:val="20"/>
          <w:szCs w:val="20"/>
        </w:rPr>
      </w:pPr>
      <w:r w:rsidRPr="00E97F02">
        <w:rPr>
          <w:rFonts w:eastAsiaTheme="minorEastAsia"/>
          <w:color w:val="2F5496" w:themeColor="accent1" w:themeShade="BF"/>
          <w:sz w:val="20"/>
          <w:szCs w:val="20"/>
        </w:rPr>
        <w:t>Vanaf het moment dat een kind 4 jaar wordt, mag het naar de basisschool. Vanaf de leeftijd van 3 jaar en 10 maanden mag het kind tot het 4 jaar geworden is in totaal 5 dagdelen naar school. Deze 5 dagdelen hoeven niet aaneengesloten te zijn. Van laatstgenoemde regeling kan in overleg met de betreffende leerkracht gebruikt worden gemaakt.</w:t>
      </w:r>
      <w:r>
        <w:rPr>
          <w:rFonts w:eastAsiaTheme="minorEastAsia"/>
          <w:color w:val="2F5496" w:themeColor="accent1" w:themeShade="BF"/>
          <w:sz w:val="20"/>
          <w:szCs w:val="20"/>
        </w:rPr>
        <w:t xml:space="preserve"> </w:t>
      </w:r>
      <w:r w:rsidRPr="00E97F02">
        <w:rPr>
          <w:rFonts w:eastAsiaTheme="minorEastAsia"/>
          <w:color w:val="2F5496" w:themeColor="accent1" w:themeShade="BF"/>
          <w:sz w:val="20"/>
          <w:szCs w:val="20"/>
        </w:rPr>
        <w:t>Het kind moet naar school, en is dus leerplichtig, op de eerste lesdag van de maand na de maand waarin het 5 jaar wordt.</w:t>
      </w:r>
      <w:r>
        <w:rPr>
          <w:rFonts w:eastAsiaTheme="minorEastAsia"/>
          <w:color w:val="2F5496" w:themeColor="accent1" w:themeShade="BF"/>
          <w:sz w:val="20"/>
          <w:szCs w:val="20"/>
        </w:rPr>
        <w:t xml:space="preserve"> </w:t>
      </w:r>
      <w:r w:rsidRPr="00E97F02">
        <w:rPr>
          <w:rFonts w:eastAsiaTheme="minorEastAsia"/>
          <w:color w:val="2F5496" w:themeColor="accent1" w:themeShade="BF"/>
          <w:sz w:val="20"/>
          <w:szCs w:val="20"/>
        </w:rPr>
        <w:t>Voor kinderen die nog geen 6 jaar zijn, is ontheffing van de leerplicht mogelijk. Wanneer ouders dat nodig vinden, mogen zij voor hun kind gebruik maken van deze ontheffing, onder mededeling aan de directeur, voor ten hoogste 5 uur per week. Deze uren mogen niet worden opgespaard en moet in een vastgesteld schema zitten. Wanneer nog verdere ontheffing wenselijk is, moet overleg met de directeur plaatsvinden.</w:t>
      </w:r>
    </w:p>
    <w:p w14:paraId="5B2A144F" w14:textId="77777777" w:rsidR="00C0526F" w:rsidRPr="00E97F02" w:rsidRDefault="00C0526F" w:rsidP="00C0526F">
      <w:pPr>
        <w:spacing w:after="0"/>
        <w:rPr>
          <w:rFonts w:eastAsiaTheme="minorEastAsia"/>
          <w:color w:val="2F5496" w:themeColor="accent1" w:themeShade="BF"/>
          <w:sz w:val="20"/>
          <w:szCs w:val="20"/>
        </w:rPr>
      </w:pPr>
    </w:p>
    <w:p w14:paraId="7859F7FB" w14:textId="77777777" w:rsidR="00C0526F" w:rsidRPr="00147FF6" w:rsidRDefault="00C0526F" w:rsidP="00C0526F">
      <w:pPr>
        <w:pStyle w:val="Kop3"/>
        <w:rPr>
          <w:rFonts w:eastAsiaTheme="minorEastAsia"/>
          <w:b/>
          <w:bCs/>
          <w:i/>
          <w:iCs/>
        </w:rPr>
      </w:pPr>
      <w:bookmarkStart w:id="5" w:name="_Toc51064070"/>
      <w:bookmarkStart w:id="6" w:name="_Toc51064806"/>
      <w:r w:rsidRPr="00147FF6">
        <w:rPr>
          <w:rFonts w:eastAsiaTheme="minorEastAsia"/>
          <w:b/>
          <w:bCs/>
          <w:i/>
          <w:iCs/>
        </w:rPr>
        <w:t>Ziekte en verzuim</w:t>
      </w:r>
      <w:bookmarkEnd w:id="5"/>
      <w:bookmarkEnd w:id="6"/>
    </w:p>
    <w:p w14:paraId="2E8B5DDB" w14:textId="77777777" w:rsidR="00C0526F" w:rsidRPr="00E97F02" w:rsidRDefault="00C0526F" w:rsidP="00C0526F">
      <w:pPr>
        <w:spacing w:after="0"/>
        <w:rPr>
          <w:rFonts w:eastAsiaTheme="minorEastAsia"/>
          <w:color w:val="2F5496" w:themeColor="accent1" w:themeShade="BF"/>
          <w:sz w:val="20"/>
          <w:szCs w:val="20"/>
        </w:rPr>
      </w:pPr>
      <w:r w:rsidRPr="00E97F02">
        <w:rPr>
          <w:rFonts w:eastAsiaTheme="minorEastAsia"/>
          <w:color w:val="2F5496" w:themeColor="accent1" w:themeShade="BF"/>
          <w:sz w:val="20"/>
          <w:szCs w:val="20"/>
        </w:rPr>
        <w:t>Als uw kind ziek is moet u dat ‘s morgens voor 8.30 uur aan de school doorgeven. Wij verwachten dat afspraken voor doktersbezoek en dergelijke zoveel mogelijk buiten schooltijd gepland worden. Wij vragen u om – als u uw kind in de klas brengt - het lokaal te verlaten bij de aanvang van de les.</w:t>
      </w:r>
    </w:p>
    <w:p w14:paraId="339C7632" w14:textId="77777777" w:rsidR="00C0526F" w:rsidRPr="00E97F02" w:rsidRDefault="00C0526F" w:rsidP="00C0526F">
      <w:pPr>
        <w:spacing w:after="0"/>
        <w:rPr>
          <w:rFonts w:eastAsiaTheme="minorEastAsia"/>
          <w:color w:val="2F5496" w:themeColor="accent1" w:themeShade="BF"/>
          <w:sz w:val="20"/>
          <w:szCs w:val="20"/>
        </w:rPr>
      </w:pPr>
      <w:r w:rsidRPr="00E97F02">
        <w:rPr>
          <w:rFonts w:eastAsiaTheme="minorEastAsia"/>
          <w:color w:val="2F5496" w:themeColor="accent1" w:themeShade="BF"/>
          <w:sz w:val="20"/>
          <w:szCs w:val="20"/>
        </w:rPr>
        <w:t>Iedere dag worden de absentielijsten ingevuld. Bij onduidelijke reden van verzuim wordt contact opgenomen met de ouders/verzorgers. Bij eventuele problemen kan dan een oplossing worden gezocht. Ongeoorloofd schoolverzuim wordt bij de consulent leerrecht gemeld.</w:t>
      </w:r>
    </w:p>
    <w:p w14:paraId="146F3BA0" w14:textId="77777777" w:rsidR="00C0526F" w:rsidRPr="00E97F02" w:rsidRDefault="00C0526F" w:rsidP="00C0526F">
      <w:pPr>
        <w:spacing w:after="0"/>
        <w:rPr>
          <w:rFonts w:eastAsiaTheme="minorEastAsia"/>
          <w:color w:val="2F5496" w:themeColor="accent1" w:themeShade="BF"/>
          <w:sz w:val="20"/>
          <w:szCs w:val="20"/>
        </w:rPr>
      </w:pPr>
    </w:p>
    <w:p w14:paraId="0A4F2C57" w14:textId="77777777" w:rsidR="00C0526F" w:rsidRPr="00147FF6" w:rsidRDefault="00C0526F" w:rsidP="00C0526F">
      <w:pPr>
        <w:pStyle w:val="Kop3"/>
        <w:rPr>
          <w:rFonts w:eastAsiaTheme="minorEastAsia"/>
          <w:b/>
          <w:bCs/>
          <w:i/>
          <w:iCs/>
        </w:rPr>
      </w:pPr>
      <w:bookmarkStart w:id="7" w:name="_Toc51064071"/>
      <w:bookmarkStart w:id="8" w:name="_Toc51064807"/>
      <w:r w:rsidRPr="00147FF6">
        <w:rPr>
          <w:rFonts w:eastAsiaTheme="minorEastAsia"/>
          <w:b/>
          <w:bCs/>
          <w:i/>
          <w:iCs/>
        </w:rPr>
        <w:t>Aanvraag voor extra verlof</w:t>
      </w:r>
      <w:bookmarkEnd w:id="7"/>
      <w:bookmarkEnd w:id="8"/>
    </w:p>
    <w:p w14:paraId="24B890D4" w14:textId="7B7A96FE" w:rsidR="00C0526F" w:rsidRPr="00E97F02" w:rsidRDefault="00C0526F" w:rsidP="00C0526F">
      <w:pPr>
        <w:spacing w:after="0"/>
        <w:rPr>
          <w:rFonts w:eastAsiaTheme="minorEastAsia"/>
          <w:color w:val="2F5496" w:themeColor="accent1" w:themeShade="BF"/>
          <w:sz w:val="20"/>
          <w:szCs w:val="20"/>
        </w:rPr>
      </w:pPr>
      <w:r w:rsidRPr="00E97F02">
        <w:rPr>
          <w:rFonts w:eastAsiaTheme="minorEastAsia"/>
          <w:color w:val="2F5496" w:themeColor="accent1" w:themeShade="BF"/>
          <w:sz w:val="20"/>
          <w:szCs w:val="20"/>
        </w:rPr>
        <w:t>Wanneer u andere dringende redenen heeft (dan ziekte) om uw kind de school te willen laten verzuimen, dient u dat 8 weken van tevoren schriftelijk aanvragen bij de directeur van de school. Aanvraagformulieren zijn op school verkrijgbaar. Uitgangspunt bij toekenning van extra verlof is dat er sprake is van externe omstandigheden die buiten de wil van ouders en/of kind plaatsvinden.</w:t>
      </w:r>
      <w:r>
        <w:rPr>
          <w:rFonts w:eastAsiaTheme="minorEastAsia"/>
          <w:color w:val="2F5496" w:themeColor="accent1" w:themeShade="BF"/>
          <w:sz w:val="20"/>
          <w:szCs w:val="20"/>
        </w:rPr>
        <w:br/>
      </w:r>
    </w:p>
    <w:p w14:paraId="5798E530" w14:textId="77777777" w:rsidR="00C0526F" w:rsidRPr="00147FF6" w:rsidRDefault="00C0526F" w:rsidP="00C0526F">
      <w:pPr>
        <w:pStyle w:val="Kop1"/>
        <w:spacing w:before="0"/>
        <w:rPr>
          <w:rFonts w:asciiTheme="minorHAnsi" w:eastAsiaTheme="minorEastAsia" w:hAnsiTheme="minorHAnsi" w:cstheme="minorBidi"/>
          <w:i/>
          <w:iCs/>
          <w:sz w:val="20"/>
          <w:szCs w:val="20"/>
        </w:rPr>
      </w:pPr>
      <w:bookmarkStart w:id="9" w:name="_Toc51064072"/>
      <w:bookmarkStart w:id="10" w:name="_Toc51064808"/>
      <w:r w:rsidRPr="00147FF6">
        <w:rPr>
          <w:rFonts w:asciiTheme="minorHAnsi" w:eastAsiaTheme="minorEastAsia" w:hAnsiTheme="minorHAnsi" w:cstheme="minorBidi"/>
          <w:i/>
          <w:iCs/>
          <w:sz w:val="20"/>
          <w:szCs w:val="20"/>
        </w:rPr>
        <w:t>Omstandigheden die in aanmerking komen voor extra verlof</w:t>
      </w:r>
      <w:r>
        <w:rPr>
          <w:rStyle w:val="Voetnootmarkering"/>
          <w:rFonts w:asciiTheme="minorHAnsi" w:eastAsiaTheme="minorEastAsia" w:hAnsiTheme="minorHAnsi" w:cstheme="minorBidi"/>
          <w:i/>
          <w:iCs/>
          <w:sz w:val="20"/>
          <w:szCs w:val="20"/>
        </w:rPr>
        <w:footnoteReference w:id="1"/>
      </w:r>
      <w:r w:rsidRPr="00147FF6">
        <w:rPr>
          <w:rFonts w:asciiTheme="minorHAnsi" w:eastAsiaTheme="minorEastAsia" w:hAnsiTheme="minorHAnsi" w:cstheme="minorBidi"/>
          <w:i/>
          <w:iCs/>
          <w:sz w:val="20"/>
          <w:szCs w:val="20"/>
        </w:rPr>
        <w:t>:</w:t>
      </w:r>
      <w:bookmarkEnd w:id="9"/>
      <w:bookmarkEnd w:id="10"/>
    </w:p>
    <w:p w14:paraId="1F9D49EA" w14:textId="77777777" w:rsidR="00C0526F" w:rsidRPr="00E97F02" w:rsidRDefault="00C0526F" w:rsidP="00C0526F">
      <w:pPr>
        <w:pStyle w:val="Lijstalinea"/>
        <w:numPr>
          <w:ilvl w:val="0"/>
          <w:numId w:val="1"/>
        </w:numPr>
        <w:spacing w:after="0"/>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Verhuizing: </w:t>
      </w:r>
      <w:r w:rsidRPr="00E97F02">
        <w:rPr>
          <w:rFonts w:eastAsiaTheme="minorEastAsia"/>
          <w:b/>
          <w:bCs/>
          <w:color w:val="2F5496" w:themeColor="accent1" w:themeShade="BF"/>
          <w:sz w:val="20"/>
          <w:szCs w:val="20"/>
        </w:rPr>
        <w:t>max. 1 dag</w:t>
      </w:r>
      <w:r w:rsidRPr="00E97F02">
        <w:rPr>
          <w:rFonts w:eastAsiaTheme="minorEastAsia"/>
          <w:color w:val="2F5496" w:themeColor="accent1" w:themeShade="BF"/>
          <w:sz w:val="20"/>
          <w:szCs w:val="20"/>
        </w:rPr>
        <w:t>;</w:t>
      </w:r>
    </w:p>
    <w:p w14:paraId="702969ED" w14:textId="77777777" w:rsidR="00C0526F" w:rsidRPr="00E97F02" w:rsidRDefault="00C0526F" w:rsidP="00C0526F">
      <w:pPr>
        <w:pStyle w:val="Lijstalinea"/>
        <w:numPr>
          <w:ilvl w:val="0"/>
          <w:numId w:val="1"/>
        </w:numPr>
        <w:spacing w:after="0"/>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Huwelijk van bloed- of aanverwanten tot en met de derde graad binnen de woonplaats: </w:t>
      </w:r>
      <w:r w:rsidRPr="00E97F02">
        <w:rPr>
          <w:rFonts w:eastAsiaTheme="minorEastAsia"/>
          <w:b/>
          <w:bCs/>
          <w:color w:val="2F5496" w:themeColor="accent1" w:themeShade="BF"/>
          <w:sz w:val="20"/>
          <w:szCs w:val="20"/>
        </w:rPr>
        <w:t>max. 1 dag</w:t>
      </w:r>
      <w:r w:rsidRPr="00E97F02">
        <w:rPr>
          <w:rFonts w:eastAsiaTheme="minorEastAsia"/>
          <w:color w:val="2F5496" w:themeColor="accent1" w:themeShade="BF"/>
          <w:sz w:val="20"/>
          <w:szCs w:val="20"/>
        </w:rPr>
        <w:t xml:space="preserve">, buiten de woonplaats: </w:t>
      </w:r>
      <w:r w:rsidRPr="00E97F02">
        <w:rPr>
          <w:rFonts w:eastAsiaTheme="minorEastAsia"/>
          <w:b/>
          <w:bCs/>
          <w:color w:val="2F5496" w:themeColor="accent1" w:themeShade="BF"/>
          <w:sz w:val="20"/>
          <w:szCs w:val="20"/>
        </w:rPr>
        <w:t xml:space="preserve">max. 2 dagen </w:t>
      </w:r>
      <w:r w:rsidRPr="00E97F02">
        <w:rPr>
          <w:rFonts w:eastAsiaTheme="minorEastAsia"/>
          <w:color w:val="2F5496" w:themeColor="accent1" w:themeShade="BF"/>
          <w:sz w:val="20"/>
          <w:szCs w:val="20"/>
        </w:rPr>
        <w:t xml:space="preserve">en in het </w:t>
      </w:r>
      <w:r w:rsidRPr="00E97F02">
        <w:rPr>
          <w:rFonts w:eastAsiaTheme="minorEastAsia"/>
          <w:b/>
          <w:bCs/>
          <w:color w:val="2F5496" w:themeColor="accent1" w:themeShade="BF"/>
          <w:sz w:val="20"/>
          <w:szCs w:val="20"/>
        </w:rPr>
        <w:t>buitenland maximaal 5 dagen.</w:t>
      </w:r>
      <w:r w:rsidRPr="00E97F02">
        <w:rPr>
          <w:rFonts w:eastAsiaTheme="minorEastAsia"/>
          <w:color w:val="2F5496" w:themeColor="accent1" w:themeShade="BF"/>
          <w:sz w:val="20"/>
          <w:szCs w:val="20"/>
        </w:rPr>
        <w:t>;</w:t>
      </w:r>
    </w:p>
    <w:p w14:paraId="7FD193B8" w14:textId="77777777" w:rsidR="00C0526F" w:rsidRPr="00E97F02" w:rsidRDefault="00C0526F" w:rsidP="00C0526F">
      <w:pPr>
        <w:pStyle w:val="Lijstalinea"/>
        <w:numPr>
          <w:ilvl w:val="0"/>
          <w:numId w:val="1"/>
        </w:numPr>
        <w:spacing w:after="0" w:line="252" w:lineRule="exact"/>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12,5 -, 25- ,40- , 50- of 60-jarig huwelijksjubileum van ouders of grootouders: </w:t>
      </w:r>
      <w:r w:rsidRPr="00E97F02">
        <w:rPr>
          <w:rFonts w:eastAsiaTheme="minorEastAsia"/>
          <w:b/>
          <w:bCs/>
          <w:color w:val="2F5496" w:themeColor="accent1" w:themeShade="BF"/>
          <w:sz w:val="20"/>
          <w:szCs w:val="20"/>
        </w:rPr>
        <w:t>max. 1 dag</w:t>
      </w:r>
      <w:r w:rsidRPr="00E97F02">
        <w:rPr>
          <w:rFonts w:eastAsiaTheme="minorEastAsia"/>
          <w:color w:val="2F5496" w:themeColor="accent1" w:themeShade="BF"/>
          <w:sz w:val="20"/>
          <w:szCs w:val="20"/>
        </w:rPr>
        <w:t>;</w:t>
      </w:r>
    </w:p>
    <w:p w14:paraId="261CE5F8" w14:textId="77777777" w:rsidR="00C0526F" w:rsidRPr="00E97F02" w:rsidRDefault="00C0526F" w:rsidP="00C0526F">
      <w:pPr>
        <w:pStyle w:val="Lijstalinea"/>
        <w:numPr>
          <w:ilvl w:val="0"/>
          <w:numId w:val="1"/>
        </w:numPr>
        <w:spacing w:after="0" w:line="252" w:lineRule="exact"/>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25-, 40-, of 50-jarig ambtsjubileum van ouders of grootouders: </w:t>
      </w:r>
      <w:r w:rsidRPr="00E97F02">
        <w:rPr>
          <w:rFonts w:eastAsiaTheme="minorEastAsia"/>
          <w:b/>
          <w:bCs/>
          <w:color w:val="2F5496" w:themeColor="accent1" w:themeShade="BF"/>
          <w:sz w:val="20"/>
          <w:szCs w:val="20"/>
        </w:rPr>
        <w:t>max. 1 dag</w:t>
      </w:r>
      <w:r w:rsidRPr="00E97F02">
        <w:rPr>
          <w:rFonts w:eastAsiaTheme="minorEastAsia"/>
          <w:color w:val="2F5496" w:themeColor="accent1" w:themeShade="BF"/>
          <w:sz w:val="20"/>
          <w:szCs w:val="20"/>
        </w:rPr>
        <w:t>;</w:t>
      </w:r>
    </w:p>
    <w:p w14:paraId="3DAF12C4" w14:textId="77777777" w:rsidR="00C0526F" w:rsidRPr="00E97F02" w:rsidRDefault="00C0526F" w:rsidP="00C0526F">
      <w:pPr>
        <w:pStyle w:val="Lijstalinea"/>
        <w:numPr>
          <w:ilvl w:val="0"/>
          <w:numId w:val="1"/>
        </w:numPr>
        <w:spacing w:after="0"/>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Ernstige ziekte van bloed- en aanverwanten tot en met de 3e graad: </w:t>
      </w:r>
      <w:r w:rsidRPr="00E97F02">
        <w:rPr>
          <w:rFonts w:eastAsiaTheme="minorEastAsia"/>
          <w:b/>
          <w:bCs/>
          <w:color w:val="2F5496" w:themeColor="accent1" w:themeShade="BF"/>
          <w:sz w:val="20"/>
          <w:szCs w:val="20"/>
        </w:rPr>
        <w:t>periode in overleg met de directeur</w:t>
      </w:r>
      <w:r w:rsidRPr="00E97F02">
        <w:rPr>
          <w:rFonts w:eastAsiaTheme="minorEastAsia"/>
          <w:color w:val="2F5496" w:themeColor="accent1" w:themeShade="BF"/>
          <w:sz w:val="20"/>
          <w:szCs w:val="20"/>
        </w:rPr>
        <w:t>;</w:t>
      </w:r>
    </w:p>
    <w:p w14:paraId="006FC179" w14:textId="77777777" w:rsidR="00C0526F" w:rsidRPr="00E97F02" w:rsidRDefault="00C0526F" w:rsidP="00C0526F">
      <w:pPr>
        <w:pStyle w:val="Lijstalinea"/>
        <w:numPr>
          <w:ilvl w:val="0"/>
          <w:numId w:val="1"/>
        </w:numPr>
        <w:spacing w:after="0" w:line="252" w:lineRule="exact"/>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Overlijden van bloed- en aanverwanten in de eerste graad: </w:t>
      </w:r>
      <w:r w:rsidRPr="00E97F02">
        <w:rPr>
          <w:rFonts w:eastAsiaTheme="minorEastAsia"/>
          <w:b/>
          <w:bCs/>
          <w:color w:val="2F5496" w:themeColor="accent1" w:themeShade="BF"/>
          <w:sz w:val="20"/>
          <w:szCs w:val="20"/>
        </w:rPr>
        <w:t>max. 5 dagen</w:t>
      </w:r>
      <w:r w:rsidRPr="00E97F02">
        <w:rPr>
          <w:rFonts w:eastAsiaTheme="minorEastAsia"/>
          <w:color w:val="2F5496" w:themeColor="accent1" w:themeShade="BF"/>
          <w:sz w:val="20"/>
          <w:szCs w:val="20"/>
        </w:rPr>
        <w:t>;</w:t>
      </w:r>
    </w:p>
    <w:p w14:paraId="5A5DF162" w14:textId="77777777" w:rsidR="00C0526F" w:rsidRPr="00E97F02" w:rsidRDefault="00C0526F" w:rsidP="00C0526F">
      <w:pPr>
        <w:pStyle w:val="Lijstalinea"/>
        <w:numPr>
          <w:ilvl w:val="0"/>
          <w:numId w:val="1"/>
        </w:numPr>
        <w:spacing w:after="0" w:line="252" w:lineRule="exact"/>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Overlijden van bloed- en aanverwanten in de tweede graad: </w:t>
      </w:r>
      <w:r w:rsidRPr="00E97F02">
        <w:rPr>
          <w:rFonts w:eastAsiaTheme="minorEastAsia"/>
          <w:b/>
          <w:bCs/>
          <w:color w:val="2F5496" w:themeColor="accent1" w:themeShade="BF"/>
          <w:sz w:val="20"/>
          <w:szCs w:val="20"/>
        </w:rPr>
        <w:t>max. 2 dagen</w:t>
      </w:r>
      <w:r w:rsidRPr="00E97F02">
        <w:rPr>
          <w:rFonts w:eastAsiaTheme="minorEastAsia"/>
          <w:color w:val="2F5496" w:themeColor="accent1" w:themeShade="BF"/>
          <w:sz w:val="20"/>
          <w:szCs w:val="20"/>
        </w:rPr>
        <w:t>;</w:t>
      </w:r>
    </w:p>
    <w:p w14:paraId="61021FCE" w14:textId="77777777" w:rsidR="00C0526F" w:rsidRPr="00E97F02" w:rsidRDefault="00C0526F" w:rsidP="00C0526F">
      <w:pPr>
        <w:pStyle w:val="Lijstalinea"/>
        <w:numPr>
          <w:ilvl w:val="0"/>
          <w:numId w:val="1"/>
        </w:numPr>
        <w:spacing w:after="0"/>
        <w:ind w:left="0" w:hanging="427"/>
        <w:rPr>
          <w:rFonts w:eastAsiaTheme="minorEastAsia"/>
          <w:color w:val="2F5496" w:themeColor="accent1" w:themeShade="BF"/>
          <w:sz w:val="20"/>
          <w:szCs w:val="20"/>
        </w:rPr>
      </w:pPr>
      <w:r w:rsidRPr="00E97F02">
        <w:rPr>
          <w:rFonts w:eastAsiaTheme="minorEastAsia"/>
          <w:color w:val="2F5496" w:themeColor="accent1" w:themeShade="BF"/>
          <w:sz w:val="20"/>
          <w:szCs w:val="20"/>
        </w:rPr>
        <w:t xml:space="preserve">Overlijden van bloed- en aanverwanten in de derde en vierde graad: </w:t>
      </w:r>
      <w:r w:rsidRPr="00E97F02">
        <w:rPr>
          <w:rFonts w:eastAsiaTheme="minorEastAsia"/>
          <w:b/>
          <w:bCs/>
          <w:color w:val="2F5496" w:themeColor="accent1" w:themeShade="BF"/>
          <w:sz w:val="20"/>
          <w:szCs w:val="20"/>
        </w:rPr>
        <w:t>max. 1 dag</w:t>
      </w:r>
      <w:r w:rsidRPr="00E97F02">
        <w:rPr>
          <w:rFonts w:eastAsiaTheme="minorEastAsia"/>
          <w:color w:val="2F5496" w:themeColor="accent1" w:themeShade="BF"/>
          <w:sz w:val="20"/>
          <w:szCs w:val="20"/>
        </w:rPr>
        <w:t>.</w:t>
      </w:r>
    </w:p>
    <w:p w14:paraId="4111EFA3" w14:textId="77777777" w:rsidR="007F69AC" w:rsidRDefault="00402018"/>
    <w:sectPr w:rsidR="007F69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8E7C" w14:textId="77777777" w:rsidR="00C0526F" w:rsidRDefault="00C0526F" w:rsidP="00C0526F">
      <w:pPr>
        <w:spacing w:after="0" w:line="240" w:lineRule="auto"/>
      </w:pPr>
      <w:r>
        <w:separator/>
      </w:r>
    </w:p>
  </w:endnote>
  <w:endnote w:type="continuationSeparator" w:id="0">
    <w:p w14:paraId="068253C3" w14:textId="77777777" w:rsidR="00C0526F" w:rsidRDefault="00C0526F" w:rsidP="00C0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0319" w14:textId="77777777" w:rsidR="00C0526F" w:rsidRDefault="00C0526F" w:rsidP="00C0526F">
      <w:pPr>
        <w:spacing w:after="0" w:line="240" w:lineRule="auto"/>
      </w:pPr>
      <w:r>
        <w:separator/>
      </w:r>
    </w:p>
  </w:footnote>
  <w:footnote w:type="continuationSeparator" w:id="0">
    <w:p w14:paraId="4F53A27A" w14:textId="77777777" w:rsidR="00C0526F" w:rsidRDefault="00C0526F" w:rsidP="00C0526F">
      <w:pPr>
        <w:spacing w:after="0" w:line="240" w:lineRule="auto"/>
      </w:pPr>
      <w:r>
        <w:continuationSeparator/>
      </w:r>
    </w:p>
  </w:footnote>
  <w:footnote w:id="1">
    <w:p w14:paraId="298B1A06" w14:textId="77777777" w:rsidR="00C0526F" w:rsidRPr="00E97F02" w:rsidRDefault="00C0526F" w:rsidP="00C0526F">
      <w:pPr>
        <w:spacing w:after="0"/>
        <w:rPr>
          <w:rFonts w:eastAsiaTheme="minorEastAsia"/>
          <w:color w:val="2F5496" w:themeColor="accent1" w:themeShade="BF"/>
          <w:sz w:val="20"/>
          <w:szCs w:val="20"/>
        </w:rPr>
      </w:pPr>
      <w:r>
        <w:rPr>
          <w:rStyle w:val="Voetnootmarkering"/>
        </w:rPr>
        <w:footnoteRef/>
      </w:r>
      <w:r>
        <w:t xml:space="preserve"> </w:t>
      </w:r>
      <w:r w:rsidRPr="00E97F02">
        <w:rPr>
          <w:rFonts w:eastAsiaTheme="minorEastAsia"/>
          <w:color w:val="2F5496" w:themeColor="accent1" w:themeShade="BF"/>
          <w:sz w:val="20"/>
          <w:szCs w:val="20"/>
        </w:rPr>
        <w:t>Bij een aanvraag voor meer dan 10 dagen beslist de consulent leerrecht. Dit is alleen mogelijk bij omstandigheden waarbij sprake is van een medische of sociale indicatie. Hiervoor kunnen ouders contact opnemen met de consulent leerrecht van hun gemeente. Informatie hierover staat in de schoolgids.</w:t>
      </w:r>
    </w:p>
    <w:p w14:paraId="58721924" w14:textId="77777777" w:rsidR="00C0526F" w:rsidRDefault="00C0526F" w:rsidP="00C0526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C7794"/>
    <w:multiLevelType w:val="hybridMultilevel"/>
    <w:tmpl w:val="6A0A5A04"/>
    <w:lvl w:ilvl="0" w:tplc="A4747212">
      <w:start w:val="1"/>
      <w:numFmt w:val="bullet"/>
      <w:lvlText w:val="-"/>
      <w:lvlJc w:val="left"/>
      <w:pPr>
        <w:ind w:left="720" w:hanging="360"/>
      </w:pPr>
      <w:rPr>
        <w:rFonts w:ascii="Arial" w:hAnsi="Arial" w:hint="default"/>
      </w:rPr>
    </w:lvl>
    <w:lvl w:ilvl="1" w:tplc="BDBAF8CC">
      <w:start w:val="1"/>
      <w:numFmt w:val="bullet"/>
      <w:lvlText w:val="o"/>
      <w:lvlJc w:val="left"/>
      <w:pPr>
        <w:ind w:left="1440" w:hanging="360"/>
      </w:pPr>
      <w:rPr>
        <w:rFonts w:ascii="Courier New" w:hAnsi="Courier New" w:hint="default"/>
      </w:rPr>
    </w:lvl>
    <w:lvl w:ilvl="2" w:tplc="3D3A2C30">
      <w:start w:val="1"/>
      <w:numFmt w:val="bullet"/>
      <w:lvlText w:val=""/>
      <w:lvlJc w:val="left"/>
      <w:pPr>
        <w:ind w:left="2160" w:hanging="360"/>
      </w:pPr>
      <w:rPr>
        <w:rFonts w:ascii="Wingdings" w:hAnsi="Wingdings" w:hint="default"/>
      </w:rPr>
    </w:lvl>
    <w:lvl w:ilvl="3" w:tplc="BC5227AC">
      <w:start w:val="1"/>
      <w:numFmt w:val="bullet"/>
      <w:lvlText w:val=""/>
      <w:lvlJc w:val="left"/>
      <w:pPr>
        <w:ind w:left="2880" w:hanging="360"/>
      </w:pPr>
      <w:rPr>
        <w:rFonts w:ascii="Symbol" w:hAnsi="Symbol" w:hint="default"/>
      </w:rPr>
    </w:lvl>
    <w:lvl w:ilvl="4" w:tplc="716A5C00">
      <w:start w:val="1"/>
      <w:numFmt w:val="bullet"/>
      <w:lvlText w:val="o"/>
      <w:lvlJc w:val="left"/>
      <w:pPr>
        <w:ind w:left="3600" w:hanging="360"/>
      </w:pPr>
      <w:rPr>
        <w:rFonts w:ascii="Courier New" w:hAnsi="Courier New" w:hint="default"/>
      </w:rPr>
    </w:lvl>
    <w:lvl w:ilvl="5" w:tplc="F722951E">
      <w:start w:val="1"/>
      <w:numFmt w:val="bullet"/>
      <w:lvlText w:val=""/>
      <w:lvlJc w:val="left"/>
      <w:pPr>
        <w:ind w:left="4320" w:hanging="360"/>
      </w:pPr>
      <w:rPr>
        <w:rFonts w:ascii="Wingdings" w:hAnsi="Wingdings" w:hint="default"/>
      </w:rPr>
    </w:lvl>
    <w:lvl w:ilvl="6" w:tplc="1834F2F4">
      <w:start w:val="1"/>
      <w:numFmt w:val="bullet"/>
      <w:lvlText w:val=""/>
      <w:lvlJc w:val="left"/>
      <w:pPr>
        <w:ind w:left="5040" w:hanging="360"/>
      </w:pPr>
      <w:rPr>
        <w:rFonts w:ascii="Symbol" w:hAnsi="Symbol" w:hint="default"/>
      </w:rPr>
    </w:lvl>
    <w:lvl w:ilvl="7" w:tplc="FB82384C">
      <w:start w:val="1"/>
      <w:numFmt w:val="bullet"/>
      <w:lvlText w:val="o"/>
      <w:lvlJc w:val="left"/>
      <w:pPr>
        <w:ind w:left="5760" w:hanging="360"/>
      </w:pPr>
      <w:rPr>
        <w:rFonts w:ascii="Courier New" w:hAnsi="Courier New" w:hint="default"/>
      </w:rPr>
    </w:lvl>
    <w:lvl w:ilvl="8" w:tplc="0D42E906">
      <w:start w:val="1"/>
      <w:numFmt w:val="bullet"/>
      <w:lvlText w:val=""/>
      <w:lvlJc w:val="left"/>
      <w:pPr>
        <w:ind w:left="6480" w:hanging="360"/>
      </w:pPr>
      <w:rPr>
        <w:rFonts w:ascii="Wingdings" w:hAnsi="Wingdings" w:hint="default"/>
      </w:rPr>
    </w:lvl>
  </w:abstractNum>
  <w:abstractNum w:abstractNumId="1" w15:restartNumberingAfterBreak="0">
    <w:nsid w:val="7629482C"/>
    <w:multiLevelType w:val="hybridMultilevel"/>
    <w:tmpl w:val="03B23B8C"/>
    <w:lvl w:ilvl="0" w:tplc="04130001">
      <w:start w:val="1"/>
      <w:numFmt w:val="bullet"/>
      <w:lvlText w:val=""/>
      <w:lvlJc w:val="left"/>
      <w:pPr>
        <w:tabs>
          <w:tab w:val="num" w:pos="720"/>
        </w:tabs>
        <w:ind w:left="720" w:hanging="360"/>
      </w:pPr>
      <w:rPr>
        <w:rFonts w:ascii="Symbol" w:hAnsi="Symbol" w:hint="default"/>
      </w:rPr>
    </w:lvl>
    <w:lvl w:ilvl="1" w:tplc="00483920" w:tentative="1">
      <w:start w:val="1"/>
      <w:numFmt w:val="bullet"/>
      <w:lvlText w:val=""/>
      <w:lvlJc w:val="left"/>
      <w:pPr>
        <w:tabs>
          <w:tab w:val="num" w:pos="1440"/>
        </w:tabs>
        <w:ind w:left="1440" w:hanging="360"/>
      </w:pPr>
      <w:rPr>
        <w:rFonts w:ascii="Symbol" w:hAnsi="Symbol" w:hint="default"/>
      </w:rPr>
    </w:lvl>
    <w:lvl w:ilvl="2" w:tplc="F2A65FE8" w:tentative="1">
      <w:start w:val="1"/>
      <w:numFmt w:val="bullet"/>
      <w:lvlText w:val=""/>
      <w:lvlJc w:val="left"/>
      <w:pPr>
        <w:tabs>
          <w:tab w:val="num" w:pos="2160"/>
        </w:tabs>
        <w:ind w:left="2160" w:hanging="360"/>
      </w:pPr>
      <w:rPr>
        <w:rFonts w:ascii="Symbol" w:hAnsi="Symbol" w:hint="default"/>
      </w:rPr>
    </w:lvl>
    <w:lvl w:ilvl="3" w:tplc="DE2A7D38" w:tentative="1">
      <w:start w:val="1"/>
      <w:numFmt w:val="bullet"/>
      <w:lvlText w:val=""/>
      <w:lvlJc w:val="left"/>
      <w:pPr>
        <w:tabs>
          <w:tab w:val="num" w:pos="2880"/>
        </w:tabs>
        <w:ind w:left="2880" w:hanging="360"/>
      </w:pPr>
      <w:rPr>
        <w:rFonts w:ascii="Symbol" w:hAnsi="Symbol" w:hint="default"/>
      </w:rPr>
    </w:lvl>
    <w:lvl w:ilvl="4" w:tplc="40EC1A22" w:tentative="1">
      <w:start w:val="1"/>
      <w:numFmt w:val="bullet"/>
      <w:lvlText w:val=""/>
      <w:lvlJc w:val="left"/>
      <w:pPr>
        <w:tabs>
          <w:tab w:val="num" w:pos="3600"/>
        </w:tabs>
        <w:ind w:left="3600" w:hanging="360"/>
      </w:pPr>
      <w:rPr>
        <w:rFonts w:ascii="Symbol" w:hAnsi="Symbol" w:hint="default"/>
      </w:rPr>
    </w:lvl>
    <w:lvl w:ilvl="5" w:tplc="F42E10C6" w:tentative="1">
      <w:start w:val="1"/>
      <w:numFmt w:val="bullet"/>
      <w:lvlText w:val=""/>
      <w:lvlJc w:val="left"/>
      <w:pPr>
        <w:tabs>
          <w:tab w:val="num" w:pos="4320"/>
        </w:tabs>
        <w:ind w:left="4320" w:hanging="360"/>
      </w:pPr>
      <w:rPr>
        <w:rFonts w:ascii="Symbol" w:hAnsi="Symbol" w:hint="default"/>
      </w:rPr>
    </w:lvl>
    <w:lvl w:ilvl="6" w:tplc="C1AEEA2C" w:tentative="1">
      <w:start w:val="1"/>
      <w:numFmt w:val="bullet"/>
      <w:lvlText w:val=""/>
      <w:lvlJc w:val="left"/>
      <w:pPr>
        <w:tabs>
          <w:tab w:val="num" w:pos="5040"/>
        </w:tabs>
        <w:ind w:left="5040" w:hanging="360"/>
      </w:pPr>
      <w:rPr>
        <w:rFonts w:ascii="Symbol" w:hAnsi="Symbol" w:hint="default"/>
      </w:rPr>
    </w:lvl>
    <w:lvl w:ilvl="7" w:tplc="4178E8A4" w:tentative="1">
      <w:start w:val="1"/>
      <w:numFmt w:val="bullet"/>
      <w:lvlText w:val=""/>
      <w:lvlJc w:val="left"/>
      <w:pPr>
        <w:tabs>
          <w:tab w:val="num" w:pos="5760"/>
        </w:tabs>
        <w:ind w:left="5760" w:hanging="360"/>
      </w:pPr>
      <w:rPr>
        <w:rFonts w:ascii="Symbol" w:hAnsi="Symbol" w:hint="default"/>
      </w:rPr>
    </w:lvl>
    <w:lvl w:ilvl="8" w:tplc="7DCC9CA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6F"/>
    <w:rsid w:val="00402018"/>
    <w:rsid w:val="00C0526F"/>
    <w:rsid w:val="00D65696"/>
    <w:rsid w:val="00F23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5FCF"/>
  <w15:chartTrackingRefBased/>
  <w15:docId w15:val="{6411070C-AFF2-4030-8BDB-FA073F23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526F"/>
  </w:style>
  <w:style w:type="paragraph" w:styleId="Kop1">
    <w:name w:val="heading 1"/>
    <w:basedOn w:val="Standaard"/>
    <w:next w:val="Standaard"/>
    <w:link w:val="Kop1Char"/>
    <w:uiPriority w:val="9"/>
    <w:qFormat/>
    <w:rsid w:val="00C05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C052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526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C0526F"/>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C0526F"/>
    <w:pPr>
      <w:ind w:left="720"/>
      <w:contextualSpacing/>
    </w:pPr>
  </w:style>
  <w:style w:type="paragraph" w:styleId="Voetnoottekst">
    <w:name w:val="footnote text"/>
    <w:basedOn w:val="Standaard"/>
    <w:link w:val="VoetnoottekstChar"/>
    <w:uiPriority w:val="99"/>
    <w:semiHidden/>
    <w:unhideWhenUsed/>
    <w:rsid w:val="00C052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526F"/>
    <w:rPr>
      <w:sz w:val="20"/>
      <w:szCs w:val="20"/>
    </w:rPr>
  </w:style>
  <w:style w:type="character" w:styleId="Voetnootmarkering">
    <w:name w:val="footnote reference"/>
    <w:basedOn w:val="Standaardalinea-lettertype"/>
    <w:uiPriority w:val="99"/>
    <w:semiHidden/>
    <w:unhideWhenUsed/>
    <w:rsid w:val="00C05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5818B97E34D419CE477D38E5AF123" ma:contentTypeVersion="10" ma:contentTypeDescription="Create a new document." ma:contentTypeScope="" ma:versionID="00e4c930c8fa2586b21ca504111dbfeb">
  <xsd:schema xmlns:xsd="http://www.w3.org/2001/XMLSchema" xmlns:xs="http://www.w3.org/2001/XMLSchema" xmlns:p="http://schemas.microsoft.com/office/2006/metadata/properties" xmlns:ns2="20cb9a85-1578-480e-b2e6-50e9497246ee" xmlns:ns3="c9355f63-edff-4ff3-bcbd-b78b967841f0" targetNamespace="http://schemas.microsoft.com/office/2006/metadata/properties" ma:root="true" ma:fieldsID="3dde98250bb6464cd263e94cd7262295" ns2:_="" ns3:_="">
    <xsd:import namespace="20cb9a85-1578-480e-b2e6-50e9497246ee"/>
    <xsd:import namespace="c9355f63-edff-4ff3-bcbd-b78b967841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9a85-1578-480e-b2e6-50e94972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5f63-edff-4ff3-bcbd-b78b967841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CCB29-C2EC-4CCA-B1BB-762687E8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9a85-1578-480e-b2e6-50e9497246ee"/>
    <ds:schemaRef ds:uri="c9355f63-edff-4ff3-bcbd-b78b96784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EFEE0-8A4E-4C40-88D1-A38767B3845E}">
  <ds:schemaRefs>
    <ds:schemaRef ds:uri="http://schemas.microsoft.com/sharepoint/v3/contenttype/forms"/>
  </ds:schemaRefs>
</ds:datastoreItem>
</file>

<file path=customXml/itemProps3.xml><?xml version="1.0" encoding="utf-8"?>
<ds:datastoreItem xmlns:ds="http://schemas.openxmlformats.org/officeDocument/2006/customXml" ds:itemID="{D085978C-B9FB-45B0-B607-19419D5DE0E9}">
  <ds:schemaRefs>
    <ds:schemaRef ds:uri="http://purl.org/dc/elements/1.1/"/>
    <ds:schemaRef ds:uri="http://schemas.openxmlformats.org/package/2006/metadata/core-properties"/>
    <ds:schemaRef ds:uri="c9355f63-edff-4ff3-bcbd-b78b967841f0"/>
    <ds:schemaRef ds:uri="http://schemas.microsoft.com/office/infopath/2007/PartnerControls"/>
    <ds:schemaRef ds:uri="http://purl.org/dc/terms/"/>
    <ds:schemaRef ds:uri="http://schemas.microsoft.com/office/2006/metadata/properties"/>
    <ds:schemaRef ds:uri="http://schemas.microsoft.com/office/2006/documentManagement/types"/>
    <ds:schemaRef ds:uri="20cb9a85-1578-480e-b2e6-50e9497246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Siteur-Reiling</dc:creator>
  <cp:keywords/>
  <dc:description/>
  <cp:lastModifiedBy>Administratie | Kindcentrum Het Anker</cp:lastModifiedBy>
  <cp:revision>2</cp:revision>
  <dcterms:created xsi:type="dcterms:W3CDTF">2020-11-03T08:12:00Z</dcterms:created>
  <dcterms:modified xsi:type="dcterms:W3CDTF">2020-11-03T08:12:00Z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0x010100BD65818B97E34D419CE477D38E5AF123</vt:lpwstr>
  </property>
</Properties>
</file>